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6E" w:rsidRPr="00800738" w:rsidRDefault="00F4746E" w:rsidP="00F4746E">
      <w:pPr>
        <w:pStyle w:val="NoSpacing"/>
        <w:jc w:val="center"/>
        <w:rPr>
          <w:rFonts w:cstheme="minorHAnsi"/>
          <w:i/>
          <w:sz w:val="32"/>
          <w:szCs w:val="32"/>
        </w:rPr>
      </w:pPr>
      <w:r w:rsidRPr="00800738">
        <w:rPr>
          <w:rFonts w:cstheme="minorHAnsi"/>
          <w:i/>
          <w:sz w:val="32"/>
          <w:szCs w:val="32"/>
        </w:rPr>
        <w:t>Johnsonburg Borough</w:t>
      </w:r>
    </w:p>
    <w:p w:rsidR="00F4746E" w:rsidRPr="00800738" w:rsidRDefault="00F4746E" w:rsidP="00F4746E">
      <w:pPr>
        <w:pStyle w:val="NoSpacing"/>
        <w:jc w:val="center"/>
        <w:rPr>
          <w:rFonts w:cstheme="minorHAnsi"/>
          <w:i/>
          <w:sz w:val="28"/>
          <w:szCs w:val="28"/>
        </w:rPr>
      </w:pPr>
      <w:r w:rsidRPr="00800738">
        <w:rPr>
          <w:rFonts w:cstheme="minorHAnsi"/>
          <w:i/>
          <w:sz w:val="28"/>
          <w:szCs w:val="28"/>
        </w:rPr>
        <w:t>100 Main Street</w:t>
      </w:r>
    </w:p>
    <w:p w:rsidR="00F4746E" w:rsidRPr="00800738" w:rsidRDefault="00F4746E" w:rsidP="00F4746E">
      <w:pPr>
        <w:pStyle w:val="NoSpacing"/>
        <w:jc w:val="center"/>
        <w:rPr>
          <w:rFonts w:cstheme="minorHAnsi"/>
          <w:i/>
          <w:sz w:val="28"/>
          <w:szCs w:val="28"/>
        </w:rPr>
      </w:pPr>
      <w:r w:rsidRPr="00800738">
        <w:rPr>
          <w:rFonts w:cstheme="minorHAnsi"/>
          <w:i/>
          <w:sz w:val="28"/>
          <w:szCs w:val="28"/>
        </w:rPr>
        <w:t>Johnsonburg, PA  15845</w:t>
      </w:r>
    </w:p>
    <w:p w:rsidR="00F4746E" w:rsidRPr="00800738" w:rsidRDefault="00F4746E" w:rsidP="00F4746E">
      <w:pPr>
        <w:pStyle w:val="NoSpacing"/>
        <w:jc w:val="center"/>
        <w:rPr>
          <w:rFonts w:cstheme="minorHAnsi"/>
          <w:i/>
          <w:sz w:val="28"/>
          <w:szCs w:val="28"/>
        </w:rPr>
      </w:pPr>
      <w:r w:rsidRPr="00800738">
        <w:rPr>
          <w:rFonts w:cstheme="minorHAnsi"/>
          <w:i/>
          <w:sz w:val="28"/>
          <w:szCs w:val="28"/>
        </w:rPr>
        <w:t>(814) 965-5682 (814) 965-3215 fax</w:t>
      </w:r>
    </w:p>
    <w:p w:rsidR="00F4746E" w:rsidRDefault="00F4746E" w:rsidP="00F4746E">
      <w:pPr>
        <w:pStyle w:val="NoSpacing"/>
        <w:jc w:val="center"/>
        <w:rPr>
          <w:rStyle w:val="Hyperlink"/>
          <w:rFonts w:cstheme="minorHAnsi"/>
          <w:i/>
          <w:color w:val="auto"/>
          <w:sz w:val="28"/>
          <w:szCs w:val="28"/>
          <w:u w:val="none"/>
        </w:rPr>
      </w:pPr>
      <w:hyperlink r:id="rId6" w:history="1">
        <w:r w:rsidRPr="00800738">
          <w:rPr>
            <w:rStyle w:val="Hyperlink"/>
            <w:rFonts w:cstheme="minorHAnsi"/>
            <w:i/>
            <w:color w:val="auto"/>
            <w:sz w:val="28"/>
            <w:szCs w:val="28"/>
            <w:u w:val="none"/>
          </w:rPr>
          <w:t>jbgboro@ncentral.com</w:t>
        </w:r>
      </w:hyperlink>
    </w:p>
    <w:p w:rsidR="00F4746E" w:rsidRDefault="00F4746E" w:rsidP="00F4746E">
      <w:pPr>
        <w:pStyle w:val="NoSpacing"/>
        <w:jc w:val="center"/>
        <w:rPr>
          <w:rFonts w:asciiTheme="minorHAnsi" w:hAnsiTheme="minorHAnsi" w:cstheme="minorHAnsi"/>
          <w:b/>
          <w:sz w:val="28"/>
        </w:rPr>
      </w:pPr>
    </w:p>
    <w:p w:rsidR="00F4746E" w:rsidRDefault="00F4746E" w:rsidP="00F4746E">
      <w:pPr>
        <w:pStyle w:val="NoSpacing"/>
        <w:jc w:val="center"/>
        <w:rPr>
          <w:rFonts w:asciiTheme="minorHAnsi" w:hAnsiTheme="minorHAnsi" w:cstheme="minorHAnsi"/>
          <w:b/>
          <w:sz w:val="28"/>
        </w:rPr>
      </w:pPr>
    </w:p>
    <w:p w:rsidR="00F4746E" w:rsidRPr="00F4746E" w:rsidRDefault="00F4746E" w:rsidP="00F4746E">
      <w:pPr>
        <w:pStyle w:val="NoSpacing"/>
        <w:jc w:val="center"/>
        <w:rPr>
          <w:rFonts w:asciiTheme="minorHAnsi" w:hAnsiTheme="minorHAnsi" w:cstheme="minorHAnsi"/>
          <w:b/>
          <w:sz w:val="28"/>
        </w:rPr>
      </w:pPr>
      <w:r w:rsidRPr="00F4746E">
        <w:rPr>
          <w:rFonts w:asciiTheme="minorHAnsi" w:hAnsiTheme="minorHAnsi" w:cstheme="minorHAnsi"/>
          <w:b/>
          <w:sz w:val="28"/>
        </w:rPr>
        <w:t>JOHNSONBURG BOROUGH</w:t>
      </w:r>
    </w:p>
    <w:p w:rsidR="00F4746E" w:rsidRDefault="00F4746E" w:rsidP="00F4746E">
      <w:pPr>
        <w:pStyle w:val="Default"/>
        <w:jc w:val="center"/>
        <w:rPr>
          <w:rFonts w:asciiTheme="minorHAnsi" w:hAnsiTheme="minorHAnsi" w:cstheme="minorHAnsi"/>
          <w:b/>
          <w:bCs/>
          <w:sz w:val="28"/>
        </w:rPr>
      </w:pPr>
      <w:r w:rsidRPr="00F4746E">
        <w:rPr>
          <w:rFonts w:asciiTheme="minorHAnsi" w:hAnsiTheme="minorHAnsi" w:cstheme="minorHAnsi"/>
          <w:b/>
          <w:bCs/>
          <w:sz w:val="28"/>
        </w:rPr>
        <w:t>RIGHT-TO-KNOW LAW POLICY</w:t>
      </w:r>
    </w:p>
    <w:p w:rsidR="00F4746E" w:rsidRPr="00F4746E" w:rsidRDefault="00F4746E" w:rsidP="00F4746E">
      <w:pPr>
        <w:pStyle w:val="Default"/>
        <w:jc w:val="center"/>
        <w:rPr>
          <w:rFonts w:asciiTheme="minorHAnsi" w:hAnsiTheme="minorHAnsi" w:cstheme="minorHAnsi"/>
          <w:sz w:val="28"/>
        </w:rPr>
      </w:pPr>
    </w:p>
    <w:p w:rsidR="00F4746E" w:rsidRDefault="00F4746E" w:rsidP="00F4746E">
      <w:pPr>
        <w:pStyle w:val="Default"/>
        <w:jc w:val="center"/>
        <w:rPr>
          <w:rFonts w:asciiTheme="minorHAnsi" w:hAnsiTheme="minorHAnsi" w:cstheme="minorHAnsi"/>
        </w:rPr>
      </w:pPr>
      <w:r w:rsidRPr="00F4746E">
        <w:rPr>
          <w:rFonts w:asciiTheme="minorHAnsi" w:hAnsiTheme="minorHAnsi" w:cstheme="minorHAnsi"/>
        </w:rPr>
        <w:t xml:space="preserve">(Adopted </w:t>
      </w:r>
      <w:r>
        <w:rPr>
          <w:rFonts w:asciiTheme="minorHAnsi" w:hAnsiTheme="minorHAnsi" w:cstheme="minorHAnsi"/>
        </w:rPr>
        <w:t>April 9, 2018</w:t>
      </w:r>
      <w:r w:rsidRPr="00F4746E">
        <w:rPr>
          <w:rFonts w:asciiTheme="minorHAnsi" w:hAnsiTheme="minorHAnsi" w:cstheme="minorHAnsi"/>
        </w:rPr>
        <w:t xml:space="preserve"> pursuant to 65 P.S. § 67.504(a))</w:t>
      </w:r>
    </w:p>
    <w:p w:rsidR="00F4746E" w:rsidRPr="00F4746E" w:rsidRDefault="00F4746E" w:rsidP="00F4746E">
      <w:pPr>
        <w:pStyle w:val="Default"/>
        <w:jc w:val="center"/>
        <w:rPr>
          <w:rFonts w:asciiTheme="minorHAnsi" w:hAnsiTheme="minorHAnsi" w:cstheme="minorHAnsi"/>
        </w:rPr>
      </w:pPr>
    </w:p>
    <w:p w:rsidR="00F4746E" w:rsidRDefault="00F4746E" w:rsidP="00F4746E">
      <w:pPr>
        <w:pStyle w:val="Default"/>
        <w:jc w:val="center"/>
        <w:rPr>
          <w:rFonts w:asciiTheme="minorHAnsi" w:hAnsiTheme="minorHAnsi" w:cstheme="minorHAnsi"/>
          <w:b/>
          <w:bCs/>
        </w:rPr>
      </w:pPr>
      <w:r w:rsidRPr="00F4746E">
        <w:rPr>
          <w:rFonts w:asciiTheme="minorHAnsi" w:hAnsiTheme="minorHAnsi" w:cstheme="minorHAnsi"/>
          <w:b/>
          <w:bCs/>
        </w:rPr>
        <w:t>Effective Date: [Effective Date of Policy]</w:t>
      </w:r>
    </w:p>
    <w:p w:rsidR="00F4746E" w:rsidRPr="00F4746E" w:rsidRDefault="00F4746E" w:rsidP="00F4746E">
      <w:pPr>
        <w:pStyle w:val="Default"/>
        <w:rPr>
          <w:rFonts w:asciiTheme="minorHAnsi" w:hAnsiTheme="minorHAnsi" w:cstheme="minorHAnsi"/>
        </w:rPr>
      </w:pPr>
    </w:p>
    <w:p w:rsidR="00F4746E" w:rsidRPr="00F4746E" w:rsidRDefault="00F4746E" w:rsidP="00F4746E">
      <w:pPr>
        <w:pStyle w:val="Default"/>
        <w:rPr>
          <w:rFonts w:asciiTheme="minorHAnsi" w:hAnsiTheme="minorHAnsi" w:cstheme="minorHAnsi"/>
        </w:rPr>
      </w:pPr>
      <w:r w:rsidRPr="00F4746E">
        <w:rPr>
          <w:rFonts w:asciiTheme="minorHAnsi" w:hAnsiTheme="minorHAnsi" w:cstheme="minorHAnsi"/>
          <w:b/>
          <w:bCs/>
        </w:rPr>
        <w:t xml:space="preserve">I. Authority </w:t>
      </w:r>
    </w:p>
    <w:p w:rsidR="00F4746E" w:rsidRPr="00F4746E" w:rsidRDefault="00F4746E" w:rsidP="00F4746E">
      <w:pPr>
        <w:pStyle w:val="Default"/>
        <w:rPr>
          <w:rFonts w:asciiTheme="minorHAnsi" w:hAnsiTheme="minorHAnsi" w:cstheme="minorHAnsi"/>
        </w:rPr>
      </w:pPr>
    </w:p>
    <w:p w:rsidR="00F4746E" w:rsidRDefault="00F4746E" w:rsidP="00F4746E">
      <w:pPr>
        <w:pStyle w:val="Default"/>
        <w:rPr>
          <w:rFonts w:asciiTheme="minorHAnsi" w:hAnsiTheme="minorHAnsi" w:cstheme="minorHAnsi"/>
        </w:rPr>
      </w:pPr>
      <w:r w:rsidRPr="00F4746E">
        <w:rPr>
          <w:rFonts w:asciiTheme="minorHAnsi" w:hAnsiTheme="minorHAnsi" w:cstheme="minorHAnsi"/>
        </w:rPr>
        <w:t xml:space="preserve">The </w:t>
      </w:r>
      <w:r>
        <w:rPr>
          <w:rFonts w:asciiTheme="minorHAnsi" w:hAnsiTheme="minorHAnsi" w:cstheme="minorHAnsi"/>
        </w:rPr>
        <w:t>J</w:t>
      </w:r>
      <w:r w:rsidR="00D6332A">
        <w:rPr>
          <w:rFonts w:asciiTheme="minorHAnsi" w:hAnsiTheme="minorHAnsi" w:cstheme="minorHAnsi"/>
        </w:rPr>
        <w:t>ohnsonburg Borough</w:t>
      </w:r>
      <w:r w:rsidRPr="00F4746E">
        <w:rPr>
          <w:rFonts w:asciiTheme="minorHAnsi" w:hAnsiTheme="minorHAnsi" w:cstheme="minorHAnsi"/>
        </w:rPr>
        <w:t xml:space="preserve"> (“Agency”) adopts this policy pursuant to Section 504(a) of the Right-to-Know Law, 65 P.S. §§ 67.101-67.3104 (“RTKL”). </w:t>
      </w:r>
    </w:p>
    <w:p w:rsidR="00F4746E" w:rsidRPr="00F4746E" w:rsidRDefault="00F4746E" w:rsidP="00F4746E">
      <w:pPr>
        <w:pStyle w:val="Default"/>
        <w:rPr>
          <w:rFonts w:asciiTheme="minorHAnsi" w:hAnsiTheme="minorHAnsi" w:cstheme="minorHAnsi"/>
        </w:rPr>
      </w:pPr>
    </w:p>
    <w:p w:rsidR="00F4746E" w:rsidRPr="00F4746E" w:rsidRDefault="00F4746E" w:rsidP="00F4746E">
      <w:pPr>
        <w:pStyle w:val="Default"/>
        <w:rPr>
          <w:rFonts w:asciiTheme="minorHAnsi" w:hAnsiTheme="minorHAnsi" w:cstheme="minorHAnsi"/>
        </w:rPr>
      </w:pPr>
      <w:r w:rsidRPr="00F4746E">
        <w:rPr>
          <w:rFonts w:asciiTheme="minorHAnsi" w:hAnsiTheme="minorHAnsi" w:cstheme="minorHAnsi"/>
          <w:b/>
          <w:bCs/>
        </w:rPr>
        <w:t xml:space="preserve">II. Definitions </w:t>
      </w:r>
    </w:p>
    <w:p w:rsidR="00F4746E" w:rsidRPr="00F4746E" w:rsidRDefault="00F4746E" w:rsidP="00F4746E">
      <w:pPr>
        <w:pStyle w:val="Default"/>
        <w:rPr>
          <w:rFonts w:asciiTheme="minorHAnsi" w:hAnsiTheme="minorHAnsi" w:cstheme="minorHAnsi"/>
        </w:rPr>
      </w:pPr>
    </w:p>
    <w:p w:rsidR="00F4746E" w:rsidRPr="00F4746E" w:rsidRDefault="00F4746E" w:rsidP="00F4746E">
      <w:pPr>
        <w:pStyle w:val="Default"/>
        <w:rPr>
          <w:rFonts w:asciiTheme="minorHAnsi" w:hAnsiTheme="minorHAnsi" w:cstheme="minorHAnsi"/>
        </w:rPr>
      </w:pPr>
      <w:r w:rsidRPr="00F4746E">
        <w:rPr>
          <w:rFonts w:asciiTheme="minorHAnsi" w:hAnsiTheme="minorHAnsi" w:cstheme="minorHAnsi"/>
        </w:rPr>
        <w:t xml:space="preserve">All of the definitions set forth in the RTKL are incorporated in to this policy by reference.  </w:t>
      </w:r>
    </w:p>
    <w:p w:rsidR="00F4746E" w:rsidRPr="00F4746E" w:rsidRDefault="00F4746E" w:rsidP="00F4746E">
      <w:pPr>
        <w:pStyle w:val="Default"/>
        <w:rPr>
          <w:rFonts w:asciiTheme="minorHAnsi" w:hAnsiTheme="minorHAnsi" w:cstheme="minorHAnsi"/>
          <w:color w:val="auto"/>
        </w:rPr>
      </w:pPr>
    </w:p>
    <w:p w:rsidR="008C24DC" w:rsidRDefault="00F4746E" w:rsidP="00F4746E">
      <w:pPr>
        <w:rPr>
          <w:rFonts w:asciiTheme="minorHAnsi" w:hAnsiTheme="minorHAnsi" w:cstheme="minorHAnsi"/>
        </w:rPr>
      </w:pPr>
      <w:r w:rsidRPr="00F4746E">
        <w:rPr>
          <w:rFonts w:asciiTheme="minorHAnsi" w:hAnsiTheme="minorHAnsi" w:cstheme="minorHAnsi"/>
          <w:i/>
          <w:iCs/>
        </w:rPr>
        <w:t>Business day</w:t>
      </w:r>
      <w:r w:rsidRPr="00F4746E">
        <w:rPr>
          <w:rFonts w:asciiTheme="minorHAnsi" w:hAnsiTheme="minorHAnsi" w:cstheme="minorHAnsi"/>
        </w:rPr>
        <w:t>. The regular bu</w:t>
      </w:r>
      <w:r w:rsidR="00D6332A">
        <w:rPr>
          <w:rFonts w:asciiTheme="minorHAnsi" w:hAnsiTheme="minorHAnsi" w:cstheme="minorHAnsi"/>
        </w:rPr>
        <w:t xml:space="preserve">siness hours of the Agency are </w:t>
      </w:r>
      <w:r w:rsidRPr="00F4746E">
        <w:rPr>
          <w:rFonts w:asciiTheme="minorHAnsi" w:hAnsiTheme="minorHAnsi" w:cstheme="minorHAnsi"/>
        </w:rPr>
        <w:t xml:space="preserve">Monday through Friday from </w:t>
      </w:r>
      <w:r w:rsidR="00D6332A">
        <w:rPr>
          <w:rFonts w:asciiTheme="minorHAnsi" w:hAnsiTheme="minorHAnsi" w:cstheme="minorHAnsi"/>
        </w:rPr>
        <w:t>8</w:t>
      </w:r>
      <w:r w:rsidRPr="00F4746E">
        <w:rPr>
          <w:rFonts w:asciiTheme="minorHAnsi" w:hAnsiTheme="minorHAnsi" w:cstheme="minorHAnsi"/>
        </w:rPr>
        <w:t xml:space="preserve">:00 am to </w:t>
      </w:r>
      <w:r w:rsidR="00D6332A">
        <w:rPr>
          <w:rFonts w:asciiTheme="minorHAnsi" w:hAnsiTheme="minorHAnsi" w:cstheme="minorHAnsi"/>
        </w:rPr>
        <w:t>4:00 pm</w:t>
      </w:r>
      <w:r w:rsidRPr="00F4746E">
        <w:rPr>
          <w:rFonts w:asciiTheme="minorHAnsi" w:hAnsiTheme="minorHAnsi" w:cstheme="minorHAnsi"/>
        </w:rPr>
        <w:t>. Business days exclude Saturday and Sunday and a weekday, or portion of a weekday, where the Agency is closed due to a state holiday, a weather related closing, a natural disaster, or at the request of public safety or law enforcement officials.</w:t>
      </w:r>
    </w:p>
    <w:p w:rsidR="00D6332A" w:rsidRDefault="00D6332A" w:rsidP="00F4746E">
      <w:pPr>
        <w:rPr>
          <w:rFonts w:asciiTheme="minorHAnsi" w:hAnsiTheme="minorHAnsi" w:cstheme="minorHAnsi"/>
        </w:rPr>
      </w:pPr>
    </w:p>
    <w:p w:rsidR="00D6332A" w:rsidRDefault="00D6332A" w:rsidP="00D6332A">
      <w:pPr>
        <w:pStyle w:val="Default"/>
      </w:pPr>
    </w:p>
    <w:p w:rsidR="00D6332A" w:rsidRPr="00D6332A" w:rsidRDefault="00D6332A" w:rsidP="00D6332A">
      <w:pPr>
        <w:pStyle w:val="NoSpacing"/>
        <w:rPr>
          <w:rFonts w:asciiTheme="minorHAnsi" w:hAnsiTheme="minorHAnsi" w:cstheme="minorHAnsi"/>
          <w:b/>
        </w:rPr>
      </w:pPr>
      <w:r w:rsidRPr="00D6332A">
        <w:rPr>
          <w:rFonts w:asciiTheme="minorHAnsi" w:hAnsiTheme="minorHAnsi" w:cstheme="minorHAnsi"/>
          <w:b/>
        </w:rPr>
        <w:t xml:space="preserve">III. Submitting a RTKL Request to the Agency. </w:t>
      </w:r>
    </w:p>
    <w:p w:rsidR="00D6332A" w:rsidRPr="00D6332A" w:rsidRDefault="00D6332A" w:rsidP="00D6332A">
      <w:pPr>
        <w:pStyle w:val="NoSpacing"/>
        <w:rPr>
          <w:rFonts w:asciiTheme="minorHAnsi" w:hAnsiTheme="minorHAnsi" w:cstheme="minorHAnsi"/>
        </w:rPr>
      </w:pPr>
    </w:p>
    <w:p w:rsidR="00D6332A" w:rsidRPr="009A0472" w:rsidRDefault="00D6332A" w:rsidP="009A0472">
      <w:pPr>
        <w:pStyle w:val="NoSpacing"/>
        <w:numPr>
          <w:ilvl w:val="0"/>
          <w:numId w:val="11"/>
        </w:numPr>
        <w:rPr>
          <w:rFonts w:asciiTheme="minorHAnsi" w:hAnsiTheme="minorHAnsi" w:cstheme="minorHAnsi"/>
        </w:rPr>
      </w:pPr>
      <w:r w:rsidRPr="009A0472">
        <w:rPr>
          <w:rFonts w:asciiTheme="minorHAnsi" w:hAnsiTheme="minorHAnsi" w:cstheme="minorHAnsi"/>
          <w:i/>
          <w:iCs/>
        </w:rPr>
        <w:t>Open Records Officer</w:t>
      </w:r>
      <w:r w:rsidRPr="009A0472">
        <w:rPr>
          <w:rFonts w:asciiTheme="minorHAnsi" w:hAnsiTheme="minorHAnsi" w:cstheme="minorHAnsi"/>
        </w:rPr>
        <w:t xml:space="preserve">. The Agency has designated an Open Records Officer to respond to RTKL requests. The contact information for the Agency’s Open Records Officer is: </w:t>
      </w:r>
    </w:p>
    <w:p w:rsidR="00FE1CA5" w:rsidRPr="009A0472" w:rsidRDefault="00FE1CA5" w:rsidP="009A0472">
      <w:pPr>
        <w:pStyle w:val="NoSpacing"/>
        <w:rPr>
          <w:rFonts w:asciiTheme="minorHAnsi" w:hAnsiTheme="minorHAnsi" w:cstheme="minorHAnsi"/>
        </w:rPr>
      </w:pPr>
    </w:p>
    <w:p w:rsidR="00D6332A" w:rsidRPr="009A0472" w:rsidRDefault="00FE1CA5" w:rsidP="009A0472">
      <w:pPr>
        <w:pStyle w:val="NoSpacing"/>
        <w:numPr>
          <w:ilvl w:val="3"/>
          <w:numId w:val="12"/>
        </w:numPr>
        <w:rPr>
          <w:rFonts w:asciiTheme="minorHAnsi" w:hAnsiTheme="minorHAnsi" w:cstheme="minorHAnsi"/>
        </w:rPr>
      </w:pPr>
      <w:r w:rsidRPr="009A0472">
        <w:rPr>
          <w:rFonts w:asciiTheme="minorHAnsi" w:hAnsiTheme="minorHAnsi" w:cstheme="minorHAnsi"/>
        </w:rPr>
        <w:t>Rachel Kilhoffer</w:t>
      </w:r>
    </w:p>
    <w:p w:rsidR="00D6332A" w:rsidRPr="009A0472" w:rsidRDefault="00D6332A" w:rsidP="009A0472">
      <w:pPr>
        <w:pStyle w:val="NoSpacing"/>
        <w:ind w:left="2880"/>
        <w:rPr>
          <w:rFonts w:asciiTheme="minorHAnsi" w:hAnsiTheme="minorHAnsi" w:cstheme="minorHAnsi"/>
        </w:rPr>
      </w:pPr>
      <w:r w:rsidRPr="009A0472">
        <w:rPr>
          <w:rFonts w:asciiTheme="minorHAnsi" w:hAnsiTheme="minorHAnsi" w:cstheme="minorHAnsi"/>
        </w:rPr>
        <w:t xml:space="preserve">Open Records Officer </w:t>
      </w:r>
    </w:p>
    <w:p w:rsidR="00FE1CA5" w:rsidRPr="009A0472" w:rsidRDefault="00FE1CA5" w:rsidP="009A0472">
      <w:pPr>
        <w:pStyle w:val="NoSpacing"/>
        <w:rPr>
          <w:rFonts w:asciiTheme="minorHAnsi" w:hAnsiTheme="minorHAnsi" w:cstheme="minorHAnsi"/>
        </w:rPr>
      </w:pPr>
    </w:p>
    <w:p w:rsidR="00FE1CA5" w:rsidRPr="009A0472" w:rsidRDefault="00D6332A" w:rsidP="009A0472">
      <w:pPr>
        <w:pStyle w:val="NoSpacing"/>
        <w:numPr>
          <w:ilvl w:val="3"/>
          <w:numId w:val="12"/>
        </w:numPr>
        <w:rPr>
          <w:rFonts w:asciiTheme="minorHAnsi" w:hAnsiTheme="minorHAnsi" w:cstheme="minorHAnsi"/>
        </w:rPr>
      </w:pPr>
      <w:r w:rsidRPr="009A0472">
        <w:rPr>
          <w:rFonts w:asciiTheme="minorHAnsi" w:hAnsiTheme="minorHAnsi" w:cstheme="minorHAnsi"/>
        </w:rPr>
        <w:t xml:space="preserve">By Mail: </w:t>
      </w:r>
      <w:r w:rsidR="00FE1CA5" w:rsidRPr="009A0472">
        <w:rPr>
          <w:rFonts w:asciiTheme="minorHAnsi" w:hAnsiTheme="minorHAnsi" w:cstheme="minorHAnsi"/>
        </w:rPr>
        <w:t>100 Main St, Johnsonburg, PA  15845</w:t>
      </w:r>
    </w:p>
    <w:p w:rsidR="00D6332A" w:rsidRPr="009A0472" w:rsidRDefault="00D6332A" w:rsidP="009A0472">
      <w:pPr>
        <w:pStyle w:val="NoSpacing"/>
        <w:rPr>
          <w:rFonts w:asciiTheme="minorHAnsi" w:hAnsiTheme="minorHAnsi" w:cstheme="minorHAnsi"/>
        </w:rPr>
      </w:pPr>
    </w:p>
    <w:p w:rsidR="00FE1CA5" w:rsidRPr="009A0472" w:rsidRDefault="00D6332A" w:rsidP="009A0472">
      <w:pPr>
        <w:pStyle w:val="NoSpacing"/>
        <w:numPr>
          <w:ilvl w:val="3"/>
          <w:numId w:val="12"/>
        </w:numPr>
        <w:rPr>
          <w:rFonts w:asciiTheme="minorHAnsi" w:hAnsiTheme="minorHAnsi" w:cstheme="minorHAnsi"/>
        </w:rPr>
      </w:pPr>
      <w:r w:rsidRPr="009A0472">
        <w:rPr>
          <w:rFonts w:asciiTheme="minorHAnsi" w:hAnsiTheme="minorHAnsi" w:cstheme="minorHAnsi"/>
        </w:rPr>
        <w:t xml:space="preserve">In Person: </w:t>
      </w:r>
      <w:r w:rsidR="00FE1CA5" w:rsidRPr="009A0472">
        <w:rPr>
          <w:rFonts w:asciiTheme="minorHAnsi" w:hAnsiTheme="minorHAnsi" w:cstheme="minorHAnsi"/>
        </w:rPr>
        <w:t>100 Main St., Johnsonburg, PA  15845</w:t>
      </w:r>
    </w:p>
    <w:p w:rsidR="00D6332A" w:rsidRPr="009A0472" w:rsidRDefault="00D6332A" w:rsidP="009A0472">
      <w:pPr>
        <w:pStyle w:val="NoSpacing"/>
        <w:rPr>
          <w:rFonts w:asciiTheme="minorHAnsi" w:hAnsiTheme="minorHAnsi" w:cstheme="minorHAnsi"/>
        </w:rPr>
      </w:pPr>
    </w:p>
    <w:p w:rsidR="00FE1CA5" w:rsidRPr="009A0472" w:rsidRDefault="00D6332A" w:rsidP="009A0472">
      <w:pPr>
        <w:pStyle w:val="NoSpacing"/>
        <w:numPr>
          <w:ilvl w:val="3"/>
          <w:numId w:val="12"/>
        </w:numPr>
        <w:rPr>
          <w:rFonts w:asciiTheme="minorHAnsi" w:hAnsiTheme="minorHAnsi" w:cstheme="minorHAnsi"/>
        </w:rPr>
      </w:pPr>
      <w:r w:rsidRPr="009A0472">
        <w:rPr>
          <w:rFonts w:asciiTheme="minorHAnsi" w:hAnsiTheme="minorHAnsi" w:cstheme="minorHAnsi"/>
        </w:rPr>
        <w:t xml:space="preserve">Phone: </w:t>
      </w:r>
      <w:r w:rsidR="00FE1CA5" w:rsidRPr="009A0472">
        <w:rPr>
          <w:rFonts w:asciiTheme="minorHAnsi" w:hAnsiTheme="minorHAnsi" w:cstheme="minorHAnsi"/>
        </w:rPr>
        <w:t>(814) 965-5682</w:t>
      </w:r>
    </w:p>
    <w:p w:rsidR="00D6332A" w:rsidRPr="009A0472" w:rsidRDefault="00D6332A" w:rsidP="009A0472">
      <w:pPr>
        <w:pStyle w:val="NoSpacing"/>
        <w:rPr>
          <w:rFonts w:asciiTheme="minorHAnsi" w:hAnsiTheme="minorHAnsi" w:cstheme="minorHAnsi"/>
        </w:rPr>
      </w:pPr>
    </w:p>
    <w:p w:rsidR="00FE1CA5" w:rsidRPr="009A0472" w:rsidRDefault="00D6332A" w:rsidP="009A0472">
      <w:pPr>
        <w:pStyle w:val="NoSpacing"/>
        <w:numPr>
          <w:ilvl w:val="3"/>
          <w:numId w:val="12"/>
        </w:numPr>
        <w:rPr>
          <w:rFonts w:asciiTheme="minorHAnsi" w:hAnsiTheme="minorHAnsi" w:cstheme="minorHAnsi"/>
        </w:rPr>
      </w:pPr>
      <w:r w:rsidRPr="009A0472">
        <w:rPr>
          <w:rFonts w:asciiTheme="minorHAnsi" w:hAnsiTheme="minorHAnsi" w:cstheme="minorHAnsi"/>
        </w:rPr>
        <w:t xml:space="preserve">Facsimile: </w:t>
      </w:r>
      <w:r w:rsidR="00FE1CA5" w:rsidRPr="009A0472">
        <w:rPr>
          <w:rFonts w:asciiTheme="minorHAnsi" w:hAnsiTheme="minorHAnsi" w:cstheme="minorHAnsi"/>
        </w:rPr>
        <w:t>(814) 965-3215</w:t>
      </w:r>
    </w:p>
    <w:p w:rsidR="00FE1CA5" w:rsidRPr="009A0472" w:rsidRDefault="00FE1CA5" w:rsidP="009A0472">
      <w:pPr>
        <w:pStyle w:val="NoSpacing"/>
        <w:rPr>
          <w:rFonts w:asciiTheme="minorHAnsi" w:hAnsiTheme="minorHAnsi" w:cstheme="minorHAnsi"/>
        </w:rPr>
      </w:pPr>
    </w:p>
    <w:p w:rsidR="00D6332A" w:rsidRPr="009A0472" w:rsidRDefault="00D6332A" w:rsidP="009A0472">
      <w:pPr>
        <w:pStyle w:val="NoSpacing"/>
        <w:numPr>
          <w:ilvl w:val="3"/>
          <w:numId w:val="12"/>
        </w:numPr>
        <w:rPr>
          <w:rFonts w:asciiTheme="minorHAnsi" w:hAnsiTheme="minorHAnsi" w:cstheme="minorHAnsi"/>
        </w:rPr>
      </w:pPr>
      <w:r w:rsidRPr="009A0472">
        <w:rPr>
          <w:rFonts w:asciiTheme="minorHAnsi" w:hAnsiTheme="minorHAnsi" w:cstheme="minorHAnsi"/>
        </w:rPr>
        <w:t xml:space="preserve">E-mail: </w:t>
      </w:r>
      <w:hyperlink r:id="rId7" w:history="1">
        <w:r w:rsidR="00FE1CA5" w:rsidRPr="009A0472">
          <w:rPr>
            <w:rStyle w:val="Hyperlink"/>
            <w:rFonts w:asciiTheme="minorHAnsi" w:hAnsiTheme="minorHAnsi" w:cstheme="minorHAnsi"/>
            <w:color w:val="auto"/>
            <w:u w:val="none"/>
          </w:rPr>
          <w:t>jbgboro@ncentral.com</w:t>
        </w:r>
      </w:hyperlink>
    </w:p>
    <w:p w:rsidR="00FE1CA5" w:rsidRPr="009A0472" w:rsidRDefault="00FE1CA5" w:rsidP="009A0472">
      <w:pPr>
        <w:pStyle w:val="NoSpacing"/>
        <w:rPr>
          <w:rFonts w:asciiTheme="minorHAnsi" w:hAnsiTheme="minorHAnsi" w:cstheme="minorHAnsi"/>
        </w:rPr>
      </w:pPr>
    </w:p>
    <w:p w:rsidR="007E709B" w:rsidRDefault="007E709B" w:rsidP="007E709B">
      <w:pPr>
        <w:pStyle w:val="Default"/>
      </w:pPr>
    </w:p>
    <w:p w:rsidR="007E709B" w:rsidRPr="009A0472" w:rsidRDefault="007E709B" w:rsidP="009A0472">
      <w:pPr>
        <w:pStyle w:val="NoSpacing"/>
        <w:ind w:firstLine="720"/>
        <w:rPr>
          <w:rFonts w:asciiTheme="minorHAnsi" w:hAnsiTheme="minorHAnsi" w:cstheme="minorHAnsi"/>
        </w:rPr>
      </w:pPr>
      <w:r w:rsidRPr="009A0472">
        <w:rPr>
          <w:rFonts w:asciiTheme="minorHAnsi" w:hAnsiTheme="minorHAnsi" w:cstheme="minorHAnsi"/>
          <w:i/>
          <w:iCs/>
        </w:rPr>
        <w:t>B. Request</w:t>
      </w:r>
      <w:r w:rsidRPr="009A0472">
        <w:rPr>
          <w:rFonts w:asciiTheme="minorHAnsi" w:hAnsiTheme="minorHAnsi" w:cstheme="minorHAnsi"/>
        </w:rPr>
        <w:t xml:space="preserve">. Requests should be submitted in writing using the RTKL Uniform Request Form available on the Agency website and be addressed to the Agency Open Records Officer. If a requester chooses not to use the request form, the request should clearly indicate that it is seeking records under the RTKL. To allow the Agency to locate responsive records and determine whether those records are public, requests for records should be specific and concise and clearly identify as precisely as possible the records sought. Requesters should retain a copy of the request for their file as a copy of the request is necessary should a requester appeal the Agency response. </w:t>
      </w:r>
    </w:p>
    <w:p w:rsidR="007E709B" w:rsidRPr="009A0472" w:rsidRDefault="007E709B" w:rsidP="009A0472">
      <w:pPr>
        <w:pStyle w:val="NoSpacing"/>
        <w:rPr>
          <w:rFonts w:asciiTheme="minorHAnsi" w:hAnsiTheme="minorHAnsi" w:cstheme="minorHAnsi"/>
        </w:rPr>
      </w:pPr>
    </w:p>
    <w:p w:rsidR="007E709B" w:rsidRDefault="007E709B" w:rsidP="009A0472">
      <w:pPr>
        <w:pStyle w:val="NoSpacing"/>
        <w:ind w:firstLine="720"/>
        <w:rPr>
          <w:rFonts w:asciiTheme="minorHAnsi" w:hAnsiTheme="minorHAnsi" w:cstheme="minorHAnsi"/>
        </w:rPr>
      </w:pPr>
      <w:r w:rsidRPr="009A0472">
        <w:rPr>
          <w:rFonts w:asciiTheme="minorHAnsi" w:hAnsiTheme="minorHAnsi" w:cstheme="minorHAnsi"/>
          <w:i/>
          <w:iCs/>
        </w:rPr>
        <w:t>C. Receipt of the request</w:t>
      </w:r>
      <w:r w:rsidRPr="009A0472">
        <w:rPr>
          <w:rFonts w:asciiTheme="minorHAnsi" w:hAnsiTheme="minorHAnsi" w:cstheme="minorHAnsi"/>
        </w:rPr>
        <w:t xml:space="preserve">. The Agency receives the request on the business day the Agency Open Request receives the request. Any request that is received by the Agency after the close of regular business hours shall be deemed to be received on the next business day. If the request is received by an Agency employee other than the Agency Open Records Officer, the request will be forwarded to Agency Open Records Officer as soon as practicable. </w:t>
      </w:r>
    </w:p>
    <w:p w:rsidR="009A0472" w:rsidRDefault="009A0472" w:rsidP="009A0472">
      <w:pPr>
        <w:pStyle w:val="Default"/>
      </w:pPr>
    </w:p>
    <w:p w:rsidR="009A0472" w:rsidRDefault="009A0472" w:rsidP="009A0472">
      <w:pPr>
        <w:pStyle w:val="Default"/>
        <w:numPr>
          <w:ilvl w:val="0"/>
          <w:numId w:val="13"/>
        </w:numPr>
        <w:rPr>
          <w:rFonts w:asciiTheme="minorHAnsi" w:hAnsiTheme="minorHAnsi" w:cstheme="minorHAnsi"/>
        </w:rPr>
      </w:pPr>
      <w:r w:rsidRPr="009A0472">
        <w:rPr>
          <w:rFonts w:asciiTheme="minorHAnsi" w:hAnsiTheme="minorHAnsi" w:cstheme="minorHAnsi"/>
          <w:i/>
          <w:iCs/>
        </w:rPr>
        <w:t>D. Verbal and anonymous requests</w:t>
      </w:r>
      <w:r w:rsidRPr="009A0472">
        <w:rPr>
          <w:rFonts w:asciiTheme="minorHAnsi" w:hAnsiTheme="minorHAnsi" w:cstheme="minorHAnsi"/>
        </w:rPr>
        <w:t>. The Agency will not respond to verbal and anonymous requests for records. Requesters submitting verbal and anonymous requests for records may not pursue the remedies available to a dissatisfied requester under the RTKL</w:t>
      </w:r>
      <w:r>
        <w:rPr>
          <w:rFonts w:asciiTheme="minorHAnsi" w:hAnsiTheme="minorHAnsi" w:cstheme="minorHAnsi"/>
        </w:rPr>
        <w:t>.</w:t>
      </w:r>
    </w:p>
    <w:p w:rsidR="006F32C2" w:rsidRDefault="006F32C2" w:rsidP="006F32C2">
      <w:pPr>
        <w:pStyle w:val="Default"/>
      </w:pPr>
    </w:p>
    <w:p w:rsidR="006F32C2" w:rsidRDefault="006F32C2" w:rsidP="006F32C2">
      <w:pPr>
        <w:pStyle w:val="Default"/>
        <w:numPr>
          <w:ilvl w:val="0"/>
          <w:numId w:val="14"/>
        </w:numPr>
        <w:rPr>
          <w:rFonts w:asciiTheme="minorHAnsi" w:hAnsiTheme="minorHAnsi" w:cstheme="minorHAnsi"/>
        </w:rPr>
      </w:pPr>
      <w:r w:rsidRPr="006F32C2">
        <w:rPr>
          <w:rFonts w:asciiTheme="minorHAnsi" w:hAnsiTheme="minorHAnsi" w:cstheme="minorHAnsi"/>
          <w:i/>
          <w:iCs/>
        </w:rPr>
        <w:t>E. Response period generally</w:t>
      </w:r>
      <w:r w:rsidRPr="006F32C2">
        <w:rPr>
          <w:rFonts w:asciiTheme="minorHAnsi" w:hAnsiTheme="minorHAnsi" w:cstheme="minorHAnsi"/>
        </w:rPr>
        <w:t xml:space="preserve">. The Agency has five business days to respond to a request for records under the RTKL. </w:t>
      </w:r>
    </w:p>
    <w:p w:rsidR="006F32C2" w:rsidRDefault="006F32C2" w:rsidP="006F32C2">
      <w:pPr>
        <w:pStyle w:val="Default"/>
        <w:rPr>
          <w:rFonts w:asciiTheme="minorHAnsi" w:hAnsiTheme="minorHAnsi" w:cstheme="minorHAnsi"/>
        </w:rPr>
      </w:pPr>
    </w:p>
    <w:p w:rsidR="006F32C2" w:rsidRPr="006F32C2" w:rsidRDefault="006F32C2" w:rsidP="006F32C2">
      <w:pPr>
        <w:pStyle w:val="Default"/>
        <w:rPr>
          <w:rFonts w:asciiTheme="minorHAnsi" w:hAnsiTheme="minorHAnsi" w:cstheme="minorHAnsi"/>
        </w:rPr>
      </w:pPr>
      <w:r w:rsidRPr="006F32C2">
        <w:rPr>
          <w:rFonts w:asciiTheme="minorHAnsi" w:hAnsiTheme="minorHAnsi" w:cstheme="minorHAnsi"/>
          <w:b/>
          <w:bCs/>
        </w:rPr>
        <w:t xml:space="preserve">IV. The Agency Response. </w:t>
      </w:r>
    </w:p>
    <w:p w:rsidR="006F32C2" w:rsidRPr="006F32C2" w:rsidRDefault="006F32C2" w:rsidP="006F32C2">
      <w:pPr>
        <w:pStyle w:val="Default"/>
        <w:rPr>
          <w:rFonts w:asciiTheme="minorHAnsi" w:hAnsiTheme="minorHAnsi" w:cstheme="minorHAnsi"/>
        </w:rPr>
      </w:pPr>
    </w:p>
    <w:p w:rsidR="006F32C2" w:rsidRPr="006F32C2" w:rsidRDefault="006F32C2" w:rsidP="006F32C2">
      <w:pPr>
        <w:pStyle w:val="Default"/>
        <w:numPr>
          <w:ilvl w:val="0"/>
          <w:numId w:val="16"/>
        </w:numPr>
        <w:rPr>
          <w:rFonts w:asciiTheme="minorHAnsi" w:hAnsiTheme="minorHAnsi" w:cstheme="minorHAnsi"/>
        </w:rPr>
      </w:pPr>
      <w:r w:rsidRPr="006F32C2">
        <w:rPr>
          <w:rFonts w:asciiTheme="minorHAnsi" w:hAnsiTheme="minorHAnsi" w:cstheme="minorHAnsi"/>
          <w:i/>
          <w:iCs/>
        </w:rPr>
        <w:t>A. Interim response</w:t>
      </w:r>
      <w:r w:rsidRPr="006F32C2">
        <w:rPr>
          <w:rFonts w:asciiTheme="minorHAnsi" w:hAnsiTheme="minorHAnsi" w:cstheme="minorHAnsi"/>
        </w:rPr>
        <w:t xml:space="preserve">. The Agency is permitted to take an additional 30 days to respond to any request for the reasons set forth in Section 902 of the RTKL, 65 P.S. § 67.902. If the Agency invokes an extension, the Agency will inform the requester in writing. </w:t>
      </w:r>
    </w:p>
    <w:p w:rsidR="006F32C2" w:rsidRPr="006F32C2" w:rsidRDefault="006F32C2" w:rsidP="006F32C2">
      <w:pPr>
        <w:pStyle w:val="Default"/>
        <w:rPr>
          <w:rFonts w:asciiTheme="minorHAnsi" w:hAnsiTheme="minorHAnsi" w:cstheme="minorHAnsi"/>
        </w:rPr>
      </w:pPr>
    </w:p>
    <w:p w:rsidR="006F32C2" w:rsidRPr="006F32C2" w:rsidRDefault="006F32C2" w:rsidP="006F32C2">
      <w:pPr>
        <w:pStyle w:val="Default"/>
        <w:numPr>
          <w:ilvl w:val="0"/>
          <w:numId w:val="17"/>
        </w:numPr>
        <w:rPr>
          <w:rFonts w:asciiTheme="minorHAnsi" w:hAnsiTheme="minorHAnsi" w:cstheme="minorHAnsi"/>
        </w:rPr>
      </w:pPr>
      <w:r w:rsidRPr="006F32C2">
        <w:rPr>
          <w:rFonts w:asciiTheme="minorHAnsi" w:hAnsiTheme="minorHAnsi" w:cstheme="minorHAnsi"/>
          <w:i/>
          <w:iCs/>
        </w:rPr>
        <w:t>B. Requester agreement to extend the response period</w:t>
      </w:r>
      <w:r w:rsidRPr="006F32C2">
        <w:rPr>
          <w:rFonts w:asciiTheme="minorHAnsi" w:hAnsiTheme="minorHAnsi" w:cstheme="minorHAnsi"/>
        </w:rPr>
        <w:t xml:space="preserve">. The requester may agree, in writing, to extend the response period beyond 30 days. The requester must agree to the extension during the 5 business day or Agency extended response period. </w:t>
      </w:r>
    </w:p>
    <w:p w:rsidR="006F32C2" w:rsidRPr="006F32C2" w:rsidRDefault="006F32C2" w:rsidP="006F32C2">
      <w:pPr>
        <w:pStyle w:val="Default"/>
        <w:rPr>
          <w:rFonts w:asciiTheme="minorHAnsi" w:hAnsiTheme="minorHAnsi" w:cstheme="minorHAnsi"/>
        </w:rPr>
      </w:pPr>
    </w:p>
    <w:p w:rsidR="006F32C2" w:rsidRPr="006F32C2" w:rsidRDefault="006F32C2" w:rsidP="006F32C2">
      <w:pPr>
        <w:pStyle w:val="Default"/>
        <w:numPr>
          <w:ilvl w:val="0"/>
          <w:numId w:val="18"/>
        </w:numPr>
        <w:rPr>
          <w:rFonts w:asciiTheme="minorHAnsi" w:hAnsiTheme="minorHAnsi" w:cstheme="minorHAnsi"/>
        </w:rPr>
      </w:pPr>
      <w:r w:rsidRPr="006F32C2">
        <w:rPr>
          <w:rFonts w:asciiTheme="minorHAnsi" w:hAnsiTheme="minorHAnsi" w:cstheme="minorHAnsi"/>
          <w:i/>
          <w:iCs/>
        </w:rPr>
        <w:t>C. Final response</w:t>
      </w:r>
      <w:r w:rsidRPr="006F32C2">
        <w:rPr>
          <w:rFonts w:asciiTheme="minorHAnsi" w:hAnsiTheme="minorHAnsi" w:cstheme="minorHAnsi"/>
        </w:rPr>
        <w:t xml:space="preserve">. The Agency may grant a request, partially grant and partially deny a request, or deny a request in its entirety. The final response of the Agency will be in writing. Should the Agency fail to issue a response within the applicable response period, the request is deemed denied. </w:t>
      </w:r>
    </w:p>
    <w:p w:rsidR="006F32C2" w:rsidRPr="006F32C2" w:rsidRDefault="006F32C2" w:rsidP="006F32C2">
      <w:pPr>
        <w:pStyle w:val="Default"/>
        <w:rPr>
          <w:rFonts w:asciiTheme="minorHAnsi" w:hAnsiTheme="minorHAnsi" w:cstheme="minorHAnsi"/>
        </w:rPr>
      </w:pPr>
    </w:p>
    <w:p w:rsidR="006F32C2" w:rsidRPr="006F32C2" w:rsidRDefault="006F32C2" w:rsidP="00CD0FCC">
      <w:pPr>
        <w:pStyle w:val="Default"/>
        <w:ind w:left="720"/>
        <w:rPr>
          <w:rFonts w:asciiTheme="minorHAnsi" w:hAnsiTheme="minorHAnsi" w:cstheme="minorHAnsi"/>
        </w:rPr>
      </w:pPr>
      <w:r w:rsidRPr="006F32C2">
        <w:rPr>
          <w:rFonts w:asciiTheme="minorHAnsi" w:hAnsiTheme="minorHAnsi" w:cstheme="minorHAnsi"/>
          <w:i/>
          <w:iCs/>
        </w:rPr>
        <w:t>1. Granting access to records</w:t>
      </w:r>
      <w:r w:rsidRPr="006F32C2">
        <w:rPr>
          <w:rFonts w:asciiTheme="minorHAnsi" w:hAnsiTheme="minorHAnsi" w:cstheme="minorHAnsi"/>
        </w:rPr>
        <w:t>. The Agency may grant a request fo</w:t>
      </w:r>
      <w:r w:rsidR="00CD0FCC">
        <w:rPr>
          <w:rFonts w:asciiTheme="minorHAnsi" w:hAnsiTheme="minorHAnsi" w:cstheme="minorHAnsi"/>
        </w:rPr>
        <w:t>r records by issuing a response:</w:t>
      </w:r>
      <w:r w:rsidRPr="006F32C2">
        <w:rPr>
          <w:rFonts w:asciiTheme="minorHAnsi" w:hAnsiTheme="minorHAnsi" w:cstheme="minorHAnsi"/>
        </w:rPr>
        <w:t xml:space="preserve"> (1) granting access to inspect Agency records during the Agency’s regular business hours; (2) sending copies of responsive records to the requester; or (3) by notifying the requester that the record is available on the Agency website or other publically accessible electronic means. </w:t>
      </w:r>
    </w:p>
    <w:p w:rsidR="006F32C2" w:rsidRPr="006F32C2" w:rsidRDefault="006F32C2" w:rsidP="006F32C2">
      <w:pPr>
        <w:pStyle w:val="Default"/>
        <w:rPr>
          <w:rFonts w:asciiTheme="minorHAnsi" w:hAnsiTheme="minorHAnsi" w:cstheme="minorHAnsi"/>
        </w:rPr>
      </w:pPr>
    </w:p>
    <w:p w:rsidR="00CD0FCC" w:rsidRDefault="00CD0FCC" w:rsidP="00CD0FCC">
      <w:pPr>
        <w:pStyle w:val="Default"/>
        <w:ind w:left="720"/>
        <w:rPr>
          <w:rFonts w:asciiTheme="minorHAnsi" w:hAnsiTheme="minorHAnsi" w:cstheme="minorHAnsi"/>
          <w:i/>
          <w:iCs/>
        </w:rPr>
      </w:pPr>
    </w:p>
    <w:p w:rsidR="00CD0FCC" w:rsidRDefault="00CD0FCC" w:rsidP="00CD0FCC">
      <w:pPr>
        <w:pStyle w:val="Default"/>
        <w:ind w:left="720"/>
        <w:rPr>
          <w:rFonts w:asciiTheme="minorHAnsi" w:hAnsiTheme="minorHAnsi" w:cstheme="minorHAnsi"/>
          <w:i/>
          <w:iCs/>
        </w:rPr>
      </w:pPr>
    </w:p>
    <w:p w:rsidR="00CD0FCC" w:rsidRDefault="00CD0FCC" w:rsidP="00CD0FCC">
      <w:pPr>
        <w:pStyle w:val="Default"/>
        <w:ind w:left="720"/>
        <w:rPr>
          <w:rFonts w:asciiTheme="minorHAnsi" w:hAnsiTheme="minorHAnsi" w:cstheme="minorHAnsi"/>
          <w:i/>
          <w:iCs/>
        </w:rPr>
      </w:pPr>
    </w:p>
    <w:p w:rsidR="006F32C2" w:rsidRDefault="006F32C2" w:rsidP="00CD0FCC">
      <w:pPr>
        <w:pStyle w:val="Default"/>
        <w:ind w:left="720"/>
        <w:rPr>
          <w:rFonts w:asciiTheme="minorHAnsi" w:hAnsiTheme="minorHAnsi" w:cstheme="minorHAnsi"/>
        </w:rPr>
      </w:pPr>
      <w:r w:rsidRPr="006F32C2">
        <w:rPr>
          <w:rFonts w:asciiTheme="minorHAnsi" w:hAnsiTheme="minorHAnsi" w:cstheme="minorHAnsi"/>
          <w:i/>
          <w:iCs/>
        </w:rPr>
        <w:lastRenderedPageBreak/>
        <w:t>2. Denying or partially denying access to records</w:t>
      </w:r>
      <w:r w:rsidRPr="006F32C2">
        <w:rPr>
          <w:rFonts w:asciiTheme="minorHAnsi" w:hAnsiTheme="minorHAnsi" w:cstheme="minorHAnsi"/>
        </w:rPr>
        <w:t xml:space="preserve">. Should the Agency deny or partially deny a request for records through redaction or otherwise, the Agency will inform the requester of the denial or partial denial in writing. The response will inform the requester that the Agency does not possess the responsive record or, if the information is exempt from public access, provide a citation to the relevant legal basis for withholding the requested information. </w:t>
      </w:r>
    </w:p>
    <w:p w:rsidR="00CD0FCC" w:rsidRDefault="00CD0FCC" w:rsidP="00CD0FCC">
      <w:pPr>
        <w:pStyle w:val="Default"/>
        <w:ind w:left="720"/>
        <w:rPr>
          <w:rFonts w:asciiTheme="minorHAnsi" w:hAnsiTheme="minorHAnsi" w:cstheme="minorHAnsi"/>
        </w:rPr>
      </w:pPr>
    </w:p>
    <w:p w:rsidR="00CD0FCC" w:rsidRDefault="00CD0FCC" w:rsidP="00CD0FCC">
      <w:pPr>
        <w:pStyle w:val="Default"/>
      </w:pPr>
    </w:p>
    <w:p w:rsidR="00CD0FCC" w:rsidRPr="00CD0FCC" w:rsidRDefault="00CD0FCC" w:rsidP="00CD0FCC">
      <w:pPr>
        <w:pStyle w:val="Default"/>
        <w:numPr>
          <w:ilvl w:val="0"/>
          <w:numId w:val="19"/>
        </w:numPr>
        <w:rPr>
          <w:rFonts w:asciiTheme="minorHAnsi" w:hAnsiTheme="minorHAnsi" w:cstheme="minorHAnsi"/>
        </w:rPr>
      </w:pPr>
      <w:r w:rsidRPr="00CD0FCC">
        <w:rPr>
          <w:rFonts w:asciiTheme="minorHAnsi" w:hAnsiTheme="minorHAnsi" w:cstheme="minorHAnsi"/>
          <w:i/>
          <w:iCs/>
        </w:rPr>
        <w:t>D. Fees</w:t>
      </w:r>
      <w:r w:rsidRPr="00CD0FCC">
        <w:rPr>
          <w:rFonts w:asciiTheme="minorHAnsi" w:hAnsiTheme="minorHAnsi" w:cstheme="minorHAnsi"/>
        </w:rPr>
        <w:t xml:space="preserve">. The Agency will charge duplication and certification fees consistent with the OOR Fee Structure </w:t>
      </w:r>
    </w:p>
    <w:p w:rsidR="00CD0FCC" w:rsidRDefault="00CD0FCC" w:rsidP="00CD0FCC">
      <w:pPr>
        <w:pStyle w:val="Default"/>
        <w:ind w:left="720"/>
        <w:rPr>
          <w:rFonts w:asciiTheme="minorHAnsi" w:hAnsiTheme="minorHAnsi" w:cstheme="minorHAnsi"/>
        </w:rPr>
      </w:pPr>
    </w:p>
    <w:p w:rsidR="00CD0FCC" w:rsidRDefault="00CD0FCC" w:rsidP="00CD0FCC">
      <w:pPr>
        <w:pStyle w:val="Default"/>
        <w:ind w:left="720"/>
        <w:rPr>
          <w:rFonts w:asciiTheme="minorHAnsi" w:hAnsiTheme="minorHAnsi" w:cstheme="minorHAnsi"/>
        </w:rPr>
      </w:pPr>
    </w:p>
    <w:p w:rsidR="00CD0FCC" w:rsidRDefault="00CD0FCC" w:rsidP="00CD0FCC">
      <w:pPr>
        <w:autoSpaceDE w:val="0"/>
        <w:autoSpaceDN w:val="0"/>
        <w:adjustRightInd w:val="0"/>
        <w:rPr>
          <w:rFonts w:asciiTheme="minorHAnsi" w:hAnsiTheme="minorHAnsi" w:cstheme="minorHAnsi"/>
          <w:b/>
          <w:bCs/>
        </w:rPr>
      </w:pPr>
      <w:r w:rsidRPr="00CD0FCC">
        <w:rPr>
          <w:rFonts w:asciiTheme="minorHAnsi" w:hAnsiTheme="minorHAnsi" w:cstheme="minorHAnsi"/>
          <w:b/>
          <w:bCs/>
        </w:rPr>
        <w:t>V. RTKL Appeals.</w:t>
      </w:r>
    </w:p>
    <w:p w:rsidR="00CD0FCC" w:rsidRPr="00CD0FCC" w:rsidRDefault="00CD0FCC" w:rsidP="00CD0FCC">
      <w:pPr>
        <w:autoSpaceDE w:val="0"/>
        <w:autoSpaceDN w:val="0"/>
        <w:adjustRightInd w:val="0"/>
        <w:rPr>
          <w:rFonts w:asciiTheme="minorHAnsi" w:hAnsiTheme="minorHAnsi" w:cstheme="minorHAnsi"/>
          <w:b/>
          <w:bCs/>
        </w:rPr>
      </w:pPr>
    </w:p>
    <w:p w:rsidR="00CD0FCC" w:rsidRDefault="00CD0FCC" w:rsidP="00CD0FCC">
      <w:pPr>
        <w:autoSpaceDE w:val="0"/>
        <w:autoSpaceDN w:val="0"/>
        <w:adjustRightInd w:val="0"/>
        <w:rPr>
          <w:rFonts w:asciiTheme="minorHAnsi" w:hAnsiTheme="minorHAnsi" w:cstheme="minorHAnsi"/>
        </w:rPr>
      </w:pPr>
      <w:r w:rsidRPr="00CD0FCC">
        <w:rPr>
          <w:rFonts w:asciiTheme="minorHAnsi" w:hAnsiTheme="minorHAnsi" w:cstheme="minorHAnsi"/>
          <w:i/>
          <w:iCs/>
        </w:rPr>
        <w:t>Generally</w:t>
      </w:r>
      <w:r w:rsidRPr="00CD0FCC">
        <w:rPr>
          <w:rFonts w:asciiTheme="minorHAnsi" w:hAnsiTheme="minorHAnsi" w:cstheme="minorHAnsi"/>
        </w:rPr>
        <w:t>. To challenge the denial or deemed denial of a request for Agency records, an appeal may be filed with the Office of Open Records (“OOR”) by contacting:</w:t>
      </w:r>
    </w:p>
    <w:p w:rsidR="00CD0FCC" w:rsidRPr="00CD0FCC" w:rsidRDefault="00CD0FCC" w:rsidP="00CD0FCC">
      <w:pPr>
        <w:autoSpaceDE w:val="0"/>
        <w:autoSpaceDN w:val="0"/>
        <w:adjustRightInd w:val="0"/>
        <w:rPr>
          <w:rFonts w:asciiTheme="minorHAnsi" w:hAnsiTheme="minorHAnsi" w:cstheme="minorHAnsi"/>
        </w:rPr>
      </w:pPr>
    </w:p>
    <w:p w:rsidR="00CD0FCC" w:rsidRPr="00CD0FCC" w:rsidRDefault="00CD0FCC" w:rsidP="00CD0FCC">
      <w:pPr>
        <w:autoSpaceDE w:val="0"/>
        <w:autoSpaceDN w:val="0"/>
        <w:adjustRightInd w:val="0"/>
        <w:rPr>
          <w:rFonts w:asciiTheme="minorHAnsi" w:hAnsiTheme="minorHAnsi" w:cstheme="minorHAnsi"/>
        </w:rPr>
      </w:pPr>
      <w:r w:rsidRPr="00CD0FCC">
        <w:rPr>
          <w:rFonts w:asciiTheme="minorHAnsi" w:hAnsiTheme="minorHAnsi" w:cstheme="minorHAnsi"/>
        </w:rPr>
        <w:t>Executive Director</w:t>
      </w:r>
    </w:p>
    <w:p w:rsidR="00CD0FCC" w:rsidRPr="00CD0FCC" w:rsidRDefault="00CD0FCC" w:rsidP="00CD0FCC">
      <w:pPr>
        <w:autoSpaceDE w:val="0"/>
        <w:autoSpaceDN w:val="0"/>
        <w:adjustRightInd w:val="0"/>
        <w:rPr>
          <w:rFonts w:asciiTheme="minorHAnsi" w:hAnsiTheme="minorHAnsi" w:cstheme="minorHAnsi"/>
        </w:rPr>
      </w:pPr>
      <w:r w:rsidRPr="00CD0FCC">
        <w:rPr>
          <w:rFonts w:asciiTheme="minorHAnsi" w:hAnsiTheme="minorHAnsi" w:cstheme="minorHAnsi"/>
        </w:rPr>
        <w:t>Office of Open Records</w:t>
      </w:r>
    </w:p>
    <w:p w:rsidR="00CD0FCC" w:rsidRPr="00CD0FCC" w:rsidRDefault="00CD0FCC" w:rsidP="00CD0FCC">
      <w:pPr>
        <w:autoSpaceDE w:val="0"/>
        <w:autoSpaceDN w:val="0"/>
        <w:adjustRightInd w:val="0"/>
        <w:rPr>
          <w:rFonts w:asciiTheme="minorHAnsi" w:hAnsiTheme="minorHAnsi" w:cstheme="minorHAnsi"/>
        </w:rPr>
      </w:pPr>
      <w:r w:rsidRPr="00CD0FCC">
        <w:rPr>
          <w:rFonts w:asciiTheme="minorHAnsi" w:hAnsiTheme="minorHAnsi" w:cstheme="minorHAnsi"/>
        </w:rPr>
        <w:t>333 Market Street, 16th Floor</w:t>
      </w:r>
    </w:p>
    <w:p w:rsidR="00CD0FCC" w:rsidRDefault="00CD0FCC" w:rsidP="00CD0FCC">
      <w:pPr>
        <w:autoSpaceDE w:val="0"/>
        <w:autoSpaceDN w:val="0"/>
        <w:adjustRightInd w:val="0"/>
        <w:rPr>
          <w:rFonts w:asciiTheme="minorHAnsi" w:hAnsiTheme="minorHAnsi" w:cstheme="minorHAnsi"/>
        </w:rPr>
      </w:pPr>
      <w:r w:rsidRPr="00CD0FCC">
        <w:rPr>
          <w:rFonts w:asciiTheme="minorHAnsi" w:hAnsiTheme="minorHAnsi" w:cstheme="minorHAnsi"/>
        </w:rPr>
        <w:t>Harrisburg, PA 17101-2234</w:t>
      </w:r>
    </w:p>
    <w:p w:rsidR="00CD0FCC" w:rsidRPr="00CD0FCC" w:rsidRDefault="00CD0FCC" w:rsidP="00CD0FCC">
      <w:pPr>
        <w:autoSpaceDE w:val="0"/>
        <w:autoSpaceDN w:val="0"/>
        <w:adjustRightInd w:val="0"/>
        <w:rPr>
          <w:rFonts w:asciiTheme="minorHAnsi" w:hAnsiTheme="minorHAnsi" w:cstheme="minorHAnsi"/>
        </w:rPr>
      </w:pPr>
    </w:p>
    <w:p w:rsidR="00CD0FCC" w:rsidRDefault="00CD0FCC" w:rsidP="00CD0FCC">
      <w:pPr>
        <w:pStyle w:val="Default"/>
        <w:rPr>
          <w:rFonts w:asciiTheme="minorHAnsi" w:hAnsiTheme="minorHAnsi" w:cstheme="minorHAnsi"/>
        </w:rPr>
      </w:pPr>
      <w:r w:rsidRPr="00CD0FCC">
        <w:rPr>
          <w:rFonts w:asciiTheme="minorHAnsi" w:hAnsiTheme="minorHAnsi" w:cstheme="minorHAnsi"/>
        </w:rPr>
        <w:t>An appeal must include a copy of the request and the Agency’s response.</w:t>
      </w:r>
    </w:p>
    <w:p w:rsidR="00CD0FCC" w:rsidRDefault="00CD0FCC" w:rsidP="00CD0FCC">
      <w:pPr>
        <w:pStyle w:val="Default"/>
        <w:rPr>
          <w:rFonts w:asciiTheme="minorHAnsi" w:hAnsiTheme="minorHAnsi" w:cstheme="minorHAnsi"/>
        </w:rPr>
      </w:pPr>
    </w:p>
    <w:p w:rsidR="00CD0FCC" w:rsidRPr="00D42AD6" w:rsidRDefault="00D42AD6" w:rsidP="00CD0FCC">
      <w:pPr>
        <w:pStyle w:val="Default"/>
        <w:rPr>
          <w:rFonts w:asciiTheme="minorHAnsi" w:hAnsiTheme="minorHAnsi" w:cstheme="minorHAnsi"/>
        </w:rPr>
      </w:pPr>
      <w:r w:rsidRPr="00D42AD6">
        <w:rPr>
          <w:rFonts w:asciiTheme="minorHAnsi" w:hAnsiTheme="minorHAnsi" w:cstheme="minorHAnsi"/>
          <w:i/>
        </w:rPr>
        <w:t>Requirements of an appeal.</w:t>
      </w:r>
      <w:r w:rsidRPr="00D42AD6">
        <w:rPr>
          <w:rFonts w:asciiTheme="minorHAnsi" w:hAnsiTheme="minorHAnsi" w:cstheme="minorHAnsi"/>
        </w:rPr>
        <w:t xml:space="preserve"> All appeals: must be in writing; must state the grounds upon which the requestor asserts that the requested records is a public record; must address any grounds stated by the agency for denying the request; and must include a copy of the request and agency response, if any. All appeals must be filed within 15 business days of the mailing date of the agency’s denial or deemed denial of the request.</w:t>
      </w:r>
    </w:p>
    <w:p w:rsidR="006F32C2" w:rsidRDefault="006F32C2" w:rsidP="006F32C2">
      <w:pPr>
        <w:pStyle w:val="Default"/>
        <w:rPr>
          <w:rFonts w:asciiTheme="minorHAnsi" w:hAnsiTheme="minorHAnsi" w:cstheme="minorHAnsi"/>
        </w:rPr>
      </w:pPr>
    </w:p>
    <w:p w:rsidR="00025F72" w:rsidRPr="00025F72" w:rsidRDefault="00025F72" w:rsidP="006F32C2">
      <w:pPr>
        <w:pStyle w:val="Default"/>
        <w:rPr>
          <w:rFonts w:asciiTheme="minorHAnsi" w:hAnsiTheme="minorHAnsi" w:cstheme="minorHAnsi"/>
          <w:b/>
        </w:rPr>
      </w:pPr>
      <w:r w:rsidRPr="00025F72">
        <w:rPr>
          <w:rFonts w:asciiTheme="minorHAnsi" w:hAnsiTheme="minorHAnsi" w:cstheme="minorHAnsi"/>
          <w:b/>
        </w:rPr>
        <w:t>VI. Additional Information about the RTKL.</w:t>
      </w:r>
    </w:p>
    <w:p w:rsidR="00025F72" w:rsidRPr="00025F72" w:rsidRDefault="00025F72" w:rsidP="006F32C2">
      <w:pPr>
        <w:pStyle w:val="Default"/>
        <w:rPr>
          <w:rFonts w:asciiTheme="minorHAnsi" w:hAnsiTheme="minorHAnsi" w:cstheme="minorHAnsi"/>
        </w:rPr>
      </w:pPr>
    </w:p>
    <w:p w:rsidR="00025F72" w:rsidRPr="00025F72" w:rsidRDefault="00025F72" w:rsidP="006F32C2">
      <w:pPr>
        <w:pStyle w:val="Default"/>
        <w:rPr>
          <w:rFonts w:asciiTheme="minorHAnsi" w:hAnsiTheme="minorHAnsi" w:cstheme="minorHAnsi"/>
        </w:rPr>
      </w:pPr>
      <w:r w:rsidRPr="00025F72">
        <w:rPr>
          <w:rFonts w:asciiTheme="minorHAnsi" w:hAnsiTheme="minorHAnsi" w:cstheme="minorHAnsi"/>
        </w:rPr>
        <w:t>Additional information regarding the RTKL and the request and appeal process, including the OOR Citizen’s Guide, Agency Guides, and related forms, are available on the OOR website at http://openrecords.state.pa.us.</w:t>
      </w:r>
    </w:p>
    <w:p w:rsidR="006F32C2" w:rsidRDefault="006F32C2" w:rsidP="006F32C2">
      <w:pPr>
        <w:pStyle w:val="Default"/>
        <w:rPr>
          <w:sz w:val="23"/>
          <w:szCs w:val="23"/>
        </w:rPr>
      </w:pPr>
    </w:p>
    <w:p w:rsidR="006F32C2" w:rsidRDefault="006F32C2" w:rsidP="006F32C2">
      <w:pPr>
        <w:pStyle w:val="Default"/>
        <w:rPr>
          <w:sz w:val="23"/>
          <w:szCs w:val="23"/>
        </w:rPr>
      </w:pPr>
    </w:p>
    <w:p w:rsidR="006F32C2" w:rsidRPr="006F32C2" w:rsidRDefault="006F32C2" w:rsidP="006F32C2">
      <w:pPr>
        <w:pStyle w:val="Default"/>
        <w:rPr>
          <w:rFonts w:asciiTheme="minorHAnsi" w:hAnsiTheme="minorHAnsi" w:cstheme="minorHAnsi"/>
        </w:rPr>
      </w:pPr>
    </w:p>
    <w:p w:rsidR="009A0472" w:rsidRPr="009A0472" w:rsidRDefault="009A0472" w:rsidP="009A0472">
      <w:pPr>
        <w:pStyle w:val="Default"/>
        <w:rPr>
          <w:rFonts w:asciiTheme="minorHAnsi" w:hAnsiTheme="minorHAnsi" w:cstheme="minorHAnsi"/>
        </w:rPr>
      </w:pPr>
      <w:r w:rsidRPr="009A0472">
        <w:rPr>
          <w:rFonts w:asciiTheme="minorHAnsi" w:hAnsiTheme="minorHAnsi" w:cstheme="minorHAnsi"/>
        </w:rPr>
        <w:t xml:space="preserve"> </w:t>
      </w:r>
    </w:p>
    <w:p w:rsidR="009A0472" w:rsidRPr="009A0472" w:rsidRDefault="009A0472" w:rsidP="009A0472">
      <w:pPr>
        <w:pStyle w:val="NoSpacing"/>
        <w:rPr>
          <w:rFonts w:asciiTheme="minorHAnsi" w:hAnsiTheme="minorHAnsi" w:cstheme="minorHAnsi"/>
        </w:rPr>
      </w:pPr>
    </w:p>
    <w:p w:rsidR="007E709B" w:rsidRPr="009A0472" w:rsidRDefault="007E709B" w:rsidP="007E709B">
      <w:pPr>
        <w:pStyle w:val="NoSpacing"/>
        <w:rPr>
          <w:rFonts w:asciiTheme="minorHAnsi" w:hAnsiTheme="minorHAnsi" w:cstheme="minorHAnsi"/>
        </w:rPr>
      </w:pPr>
      <w:bookmarkStart w:id="0" w:name="_GoBack"/>
      <w:bookmarkEnd w:id="0"/>
    </w:p>
    <w:sectPr w:rsidR="007E709B" w:rsidRPr="009A0472" w:rsidSect="00D6332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86EB7F"/>
    <w:multiLevelType w:val="hybridMultilevel"/>
    <w:tmpl w:val="42B735B4"/>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845971"/>
    <w:multiLevelType w:val="hybridMultilevel"/>
    <w:tmpl w:val="90D91A5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0B70AC"/>
    <w:multiLevelType w:val="hybridMultilevel"/>
    <w:tmpl w:val="04F966D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E63BB28"/>
    <w:multiLevelType w:val="hybridMultilevel"/>
    <w:tmpl w:val="F6180ACC"/>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000F00"/>
    <w:multiLevelType w:val="hybridMultilevel"/>
    <w:tmpl w:val="6DFA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534C8"/>
    <w:multiLevelType w:val="hybridMultilevel"/>
    <w:tmpl w:val="34923868"/>
    <w:lvl w:ilvl="0" w:tplc="1832A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57A5B"/>
    <w:multiLevelType w:val="hybridMultilevel"/>
    <w:tmpl w:val="864D817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8AEA1A"/>
    <w:multiLevelType w:val="hybridMultilevel"/>
    <w:tmpl w:val="4940969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920A9B0"/>
    <w:multiLevelType w:val="hybridMultilevel"/>
    <w:tmpl w:val="0547E3CA"/>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54F2A50"/>
    <w:multiLevelType w:val="hybridMultilevel"/>
    <w:tmpl w:val="52DAFCF8"/>
    <w:lvl w:ilvl="0" w:tplc="4522B83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07A25"/>
    <w:multiLevelType w:val="hybridMultilevel"/>
    <w:tmpl w:val="361E9C2A"/>
    <w:lvl w:ilvl="0" w:tplc="406E13E2">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1A0D06"/>
    <w:multiLevelType w:val="hybridMultilevel"/>
    <w:tmpl w:val="1B152F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04D0017"/>
    <w:multiLevelType w:val="hybridMultilevel"/>
    <w:tmpl w:val="BB936A0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87C87FC"/>
    <w:multiLevelType w:val="hybridMultilevel"/>
    <w:tmpl w:val="32782B6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CEBD47D"/>
    <w:multiLevelType w:val="hybridMultilevel"/>
    <w:tmpl w:val="83D7836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0A4B744"/>
    <w:multiLevelType w:val="hybridMultilevel"/>
    <w:tmpl w:val="E5E4EAB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7056C94"/>
    <w:multiLevelType w:val="hybridMultilevel"/>
    <w:tmpl w:val="683E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60873"/>
    <w:multiLevelType w:val="hybridMultilevel"/>
    <w:tmpl w:val="B1D0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EA1C1"/>
    <w:multiLevelType w:val="hybridMultilevel"/>
    <w:tmpl w:val="E169DF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8"/>
  </w:num>
  <w:num w:numId="3">
    <w:abstractNumId w:val="13"/>
  </w:num>
  <w:num w:numId="4">
    <w:abstractNumId w:val="3"/>
  </w:num>
  <w:num w:numId="5">
    <w:abstractNumId w:val="9"/>
  </w:num>
  <w:num w:numId="6">
    <w:abstractNumId w:val="4"/>
  </w:num>
  <w:num w:numId="7">
    <w:abstractNumId w:val="5"/>
  </w:num>
  <w:num w:numId="8">
    <w:abstractNumId w:val="16"/>
  </w:num>
  <w:num w:numId="9">
    <w:abstractNumId w:val="1"/>
  </w:num>
  <w:num w:numId="10">
    <w:abstractNumId w:val="11"/>
  </w:num>
  <w:num w:numId="11">
    <w:abstractNumId w:val="10"/>
  </w:num>
  <w:num w:numId="12">
    <w:abstractNumId w:val="17"/>
  </w:num>
  <w:num w:numId="13">
    <w:abstractNumId w:val="2"/>
  </w:num>
  <w:num w:numId="14">
    <w:abstractNumId w:val="15"/>
  </w:num>
  <w:num w:numId="15">
    <w:abstractNumId w:val="7"/>
  </w:num>
  <w:num w:numId="16">
    <w:abstractNumId w:val="8"/>
  </w:num>
  <w:num w:numId="17">
    <w:abstractNumId w:val="0"/>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6E"/>
    <w:rsid w:val="00025F72"/>
    <w:rsid w:val="006F32C2"/>
    <w:rsid w:val="007E709B"/>
    <w:rsid w:val="008C24DC"/>
    <w:rsid w:val="009A0472"/>
    <w:rsid w:val="00CD0FCC"/>
    <w:rsid w:val="00D42AD6"/>
    <w:rsid w:val="00D6332A"/>
    <w:rsid w:val="00F4746E"/>
    <w:rsid w:val="00FE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46E"/>
    <w:pPr>
      <w:autoSpaceDE w:val="0"/>
      <w:autoSpaceDN w:val="0"/>
      <w:adjustRightInd w:val="0"/>
    </w:pPr>
    <w:rPr>
      <w:color w:val="000000"/>
      <w:sz w:val="24"/>
      <w:szCs w:val="24"/>
    </w:rPr>
  </w:style>
  <w:style w:type="paragraph" w:styleId="NoSpacing">
    <w:name w:val="No Spacing"/>
    <w:uiPriority w:val="1"/>
    <w:qFormat/>
    <w:rsid w:val="00F4746E"/>
    <w:rPr>
      <w:sz w:val="24"/>
      <w:szCs w:val="24"/>
    </w:rPr>
  </w:style>
  <w:style w:type="character" w:styleId="Hyperlink">
    <w:name w:val="Hyperlink"/>
    <w:basedOn w:val="DefaultParagraphFont"/>
    <w:uiPriority w:val="99"/>
    <w:unhideWhenUsed/>
    <w:rsid w:val="00F4746E"/>
    <w:rPr>
      <w:color w:val="0000FF" w:themeColor="hyperlink"/>
      <w:u w:val="single"/>
    </w:rPr>
  </w:style>
  <w:style w:type="paragraph" w:styleId="ListParagraph">
    <w:name w:val="List Paragraph"/>
    <w:basedOn w:val="Normal"/>
    <w:uiPriority w:val="34"/>
    <w:qFormat/>
    <w:rsid w:val="00FE1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46E"/>
    <w:pPr>
      <w:autoSpaceDE w:val="0"/>
      <w:autoSpaceDN w:val="0"/>
      <w:adjustRightInd w:val="0"/>
    </w:pPr>
    <w:rPr>
      <w:color w:val="000000"/>
      <w:sz w:val="24"/>
      <w:szCs w:val="24"/>
    </w:rPr>
  </w:style>
  <w:style w:type="paragraph" w:styleId="NoSpacing">
    <w:name w:val="No Spacing"/>
    <w:uiPriority w:val="1"/>
    <w:qFormat/>
    <w:rsid w:val="00F4746E"/>
    <w:rPr>
      <w:sz w:val="24"/>
      <w:szCs w:val="24"/>
    </w:rPr>
  </w:style>
  <w:style w:type="character" w:styleId="Hyperlink">
    <w:name w:val="Hyperlink"/>
    <w:basedOn w:val="DefaultParagraphFont"/>
    <w:uiPriority w:val="99"/>
    <w:unhideWhenUsed/>
    <w:rsid w:val="00F4746E"/>
    <w:rPr>
      <w:color w:val="0000FF" w:themeColor="hyperlink"/>
      <w:u w:val="single"/>
    </w:rPr>
  </w:style>
  <w:style w:type="paragraph" w:styleId="ListParagraph">
    <w:name w:val="List Paragraph"/>
    <w:basedOn w:val="Normal"/>
    <w:uiPriority w:val="34"/>
    <w:qFormat/>
    <w:rsid w:val="00FE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bgboro@n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gboro@ncentr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4</cp:revision>
  <dcterms:created xsi:type="dcterms:W3CDTF">2018-04-06T19:08:00Z</dcterms:created>
  <dcterms:modified xsi:type="dcterms:W3CDTF">2018-04-06T20:37:00Z</dcterms:modified>
</cp:coreProperties>
</file>